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34" w:rsidRPr="001D3334" w:rsidRDefault="001D3334" w:rsidP="001D3334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1D3334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1D3334" w:rsidRPr="001D3334" w:rsidRDefault="001D3334" w:rsidP="001D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1D3334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Общество с ограниченной ответственностью «Полёт»</w:t>
      </w:r>
    </w:p>
    <w:p w:rsidR="001D3334" w:rsidRPr="001D3334" w:rsidRDefault="001D3334" w:rsidP="001D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1D3334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 xml:space="preserve">по </w:t>
      </w:r>
      <w:proofErr w:type="gramStart"/>
      <w:r w:rsidRPr="001D3334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>строительству  многоэтажного</w:t>
      </w:r>
      <w:proofErr w:type="gramEnd"/>
      <w:r w:rsidRPr="001D3334">
        <w:rPr>
          <w:rFonts w:ascii="Times New Roman" w:eastAsia="Times New Roman" w:hAnsi="Times New Roman" w:cs="Times New Roman"/>
          <w:b/>
          <w:bCs/>
          <w:color w:val="60534C"/>
          <w:sz w:val="24"/>
          <w:szCs w:val="24"/>
          <w:lang w:eastAsia="ru-RU"/>
        </w:rPr>
        <w:t xml:space="preserve"> жилого дома с административно-общественными помещениями и подземной автостоянкой</w:t>
      </w:r>
    </w:p>
    <w:p w:rsidR="001D3334" w:rsidRPr="001D3334" w:rsidRDefault="001D3334" w:rsidP="001D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r w:rsidRPr="001D3334">
        <w:rPr>
          <w:rFonts w:ascii="Times New Roman" w:eastAsia="Times New Roman" w:hAnsi="Times New Roman" w:cs="Times New Roman"/>
          <w:b/>
          <w:bCs/>
          <w:color w:val="60534C"/>
          <w:sz w:val="21"/>
          <w:szCs w:val="21"/>
          <w:lang w:eastAsia="ru-RU"/>
        </w:rPr>
        <w:t> </w:t>
      </w:r>
    </w:p>
    <w:p w:rsidR="001D3334" w:rsidRPr="001D3334" w:rsidRDefault="001D3334" w:rsidP="001D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  <w:bookmarkStart w:id="0" w:name="_GoBack"/>
      <w:bookmarkEnd w:id="0"/>
    </w:p>
    <w:p w:rsidR="001D3334" w:rsidRPr="001D3334" w:rsidRDefault="001D3334" w:rsidP="001D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534C"/>
          <w:sz w:val="24"/>
          <w:szCs w:val="24"/>
          <w:lang w:eastAsia="ru-RU"/>
        </w:rPr>
      </w:pPr>
    </w:p>
    <w:p w:rsidR="001D3334" w:rsidRPr="001D3334" w:rsidRDefault="001D3334" w:rsidP="001D333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1D333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1D3334" w:rsidRPr="001D3334" w:rsidTr="001D333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«Полёт»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(место нахождения):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390507, Россия, Рязанская область, Рязанский район, село </w:t>
            </w:r>
            <w:proofErr w:type="spellStart"/>
            <w:proofErr w:type="gram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Дядьково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 Центральная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улица, дом 47б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 9.00 до 19.00, Сб. - с 11.00 до 16.00, Вс. – выходной.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Общество с ограниченной </w:t>
            </w:r>
            <w:proofErr w:type="gramStart"/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ответственностью  «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Полёт»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зарегистрировано 29 </w:t>
            </w:r>
            <w:proofErr w:type="gram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марта  2012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 МРИФНС России №6  по Рязанской области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1126215000328, ИНН 6215025951, КПП 621501001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Канке Александр Альфредович, 100% голосов</w:t>
            </w:r>
          </w:p>
        </w:tc>
      </w:tr>
      <w:tr w:rsidR="001D3334" w:rsidRPr="001D3334" w:rsidTr="001D3334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1D3334" w:rsidRPr="001D3334" w:rsidTr="001D3334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  сентября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2012 года 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 Обществом с ограниченной ответственностью </w:t>
            </w: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«Новация»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 определенному виду или видам работам, которые оказывают влияние на безопасность объектов капитального строительства № 9994 от 27 апреля 2011 года на неограниченный срок, выданное СРО НП СО Строителей «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Стройрегион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г. Санкт-Петербург, заключен </w:t>
            </w: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сентября 2012 года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 определенному виду или видам работам, которые оказывают влияние на безопасность объектов капитального строительства № 0027.04-2012-6215015030-С-135, выданного СРО НП «Объединение Рязанских строителей» на основании Решения Правления СРО НП «Объединение Рязанских строителей», протокол №96 от 19.06.2012 года на неограниченный срок, заключен </w:t>
            </w: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контроля.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 Финансовый результат текущего года, размер кредиторской  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Финансовый результат - 0 рублей (без прибыли и убытков);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0 рублей (отсутствует);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0 рублей (отсутствует).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1D3334" w:rsidRPr="001D3334" w:rsidRDefault="001D3334" w:rsidP="001D3334">
      <w:pPr>
        <w:spacing w:after="0" w:line="240" w:lineRule="auto"/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</w:pPr>
    </w:p>
    <w:p w:rsidR="001D3334" w:rsidRPr="001D3334" w:rsidRDefault="001D3334" w:rsidP="001D33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</w:pPr>
      <w:r w:rsidRPr="001D333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75"/>
      </w:tblGrid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 многоэтажного жилого дома с административно-общественными помещениями и подземной автостоянкой.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 город Рязань, 1-й проезд Гагарина, дом 10.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(срок передачи) – 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2015 г.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государственной экспертизы № 62-1-4-0460-12 от 23 августа 2012 г., выданное Главным Управлением архитектуры и градостроительства Рязанской области.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62361000-153/2012/РС от 12  сентября 2012 г. выдано Администрацией г. Рязани.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1D333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Земельным участком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 62:29:0070024:1815, общей площадью – 3 076,0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расположенным по адресу: Рязанская область, город Рязань, проезд Гагарина 1-й, дом 10, проезд Гагарина 2-й, дом 9, 13-13а (Железнодорожный район) на основании Договора аренды земельного участка от 07.09.2012 года, зарегистрированного Управлением Федеральной службы государственной регистрации, кадастра и картографии по Рязанской области 11.09.2012 г.  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Собственники земельного участка: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Куприенко Вадим Николаевич (1/2 (одна вторая) доля в праве общей долевой собственности),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Мархель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Юрий Алексеевич (1/2 (одна вторая) доля в праве общей долевой собственности).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</w:tr>
      <w:tr w:rsidR="001D3334" w:rsidRPr="001D3334" w:rsidTr="001D3334">
        <w:trPr>
          <w:trHeight w:val="387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территории двора 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предусмотрены элементы благоустройства: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озеленение свободных от застройки участков путем устройства газонов, посадки кустарников;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малые архитектурные формы,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площадка для отдыха взрослых,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детская игровая площадка,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 хозяйственные площадки для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мусороконтейнеров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площадки имеют соответствующие покрытия и оборудование. Для пешеходной связи предусмотрена сеть освещенных тротуаров. Покрытие проездов и пешеходных дорожек – асфальтобетонное.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1D3334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       Участок строительства многоэтажного жилого дома с административно-общественными помещениями и подземной автостоянкой (далее – </w:t>
            </w:r>
            <w:r w:rsidRPr="001D3334">
              <w:rPr>
                <w:rFonts w:ascii="Times New Roman" w:eastAsia="Times New Roman" w:hAnsi="Times New Roman" w:cs="Times New Roman"/>
                <w:b/>
                <w:bCs/>
                <w:color w:val="60534C"/>
                <w:sz w:val="21"/>
                <w:szCs w:val="21"/>
                <w:lang w:eastAsia="ru-RU"/>
              </w:rPr>
              <w:t>«Здание дома»</w:t>
            </w:r>
            <w:r w:rsidRPr="001D3334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) расположен в Железнодорожном округе г. Рязани.</w:t>
            </w:r>
            <w:bookmarkEnd w:id="1"/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  <w:r w:rsidRPr="001D333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210175" cy="3124200"/>
                      <wp:effectExtent l="0" t="0" r="0" b="0"/>
                      <wp:docPr id="1" name="Прямоугольник 1" descr="http://edinstvo62.ru/houses/72/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10175" cy="312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9F331" id="Прямоугольник 1" o:spid="_x0000_s1026" alt="http://edinstvo62.ru/houses/72/image004.jpg" style="width:410.25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  Здание дома монолитно-бетонное, двухсекционное, прямоугольной формы в плане, переменной этажности (17-ти, 18-ти </w:t>
            </w:r>
            <w:proofErr w:type="gram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этажный)  с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подвальным и техническим этажами, подземной автостоянкой.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первом этаже размещаются </w:t>
            </w:r>
            <w:proofErr w:type="gram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нежилые  помещения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теплогенераторные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Входы в нежилые помещения изолированы от входов в жилую часть.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подвальном этаже предполагается размещение части встроено-пристроенной автостоянки, насосной.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Этажи со второго по семнадцатый - жилые. На жилых этажах размещаются одно-, двух-, трехкомнатные квартиры. Высота жилого </w:t>
            </w:r>
            <w:proofErr w:type="gram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этажа  не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менее - 2,6 м.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квартиры имеют необходимый набор жилых и вспомогательных помещений.       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Ориентация окон жилых комнат обеспечивает нормируемую инсоляцию в квартирах.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Конструктивная часть здания - перекрестно-стеновая с монолитными железобетонными несущими стенами, пилонами и перекрытиями.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Наружные ограждающие конструкции – самонесущие стены, из керамического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камня с утеплением с наружной стороны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минераловатными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плитами </w:t>
            </w:r>
            <w:proofErr w:type="gram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  последующим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покрытием декоративной штукатуркой по сетке.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и пилоны – монолитные железобетонные.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Перекрытие подвала - балочное монолитное железобетонное.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Перекрытия 1-го-17-го этажей –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безбалочные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монолитные железобетонные плиты.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Фундамент здания дома – монолитная железобетонная плита.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Пристроенная часть проектируемой встроено-</w:t>
            </w:r>
            <w:proofErr w:type="gram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пристроенной  к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зданию дома </w:t>
            </w: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подземной автостоянки 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заглубленная, прямоугольной формы в плане, неотапливаемая, для парковки 54 единиц автомобилей, с  однопутной рампой.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Конструктивная схема – перекрестно-стеновая с монолитными железобетонными несущими стенами и перекрытиями.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Уклон рампы в пределах 13%-18%. Въезд организован через въездные автоматические подъемно-поворотные ворота. Так же предусмотрено </w:t>
            </w:r>
            <w:proofErr w:type="gram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устройство  пандуса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маломобильных групп населения. Стены – монолитно железобетонные, толщиной 250 мм. Внутренние стены - монолитно железобетонные, толщиной 160 мм.  Кровля – эксплуатируемая. В подземной автостоянке предусмотрена система автоматического пожаротушения.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Электроснабжение здания дома осуществляется от проектируемой трансформаторной подстанции, которая предусмотрена на месте существующей ТП.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дома обеспечивается централизованным хозяйственно-питьевым водоснабжением от существующей водопроводной сети города. Для учета расхода холодной воды на ответвлениях в каждую квартиру устанавливаются счетчики.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Канализация осуществляется в существующую городскую сеть.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Вентиляция квартир и нежилых помещений принята приточно-вытяжная с естественным побуждением и механической вытяжкой.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Горячее водоснабжение и отопление квартир предусмотрено от настенных двухконтурных газовых котлов, установленных на кухнях,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полотенцесушители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установлены в ванных комнатах, подключены к трубопроводам системы отопления. Система отопления квартир принята лучевая от распределительных гребенок.   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Горячее водоснабжение и отопление нежилых помещений предусмотрено от газовых котлов, установленных в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Окна и витражи лоджий выполнены из ПВХ профиля.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Многоэтажный жилой </w:t>
            </w:r>
            <w:proofErr w:type="gram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  включает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себя: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 - 176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общей проектной площадью – 14 398,56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из них:</w:t>
            </w:r>
          </w:p>
          <w:p w:rsidR="001D3334" w:rsidRPr="001D3334" w:rsidRDefault="001D3334" w:rsidP="001D333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1D3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48 квартиры,</w:t>
            </w:r>
          </w:p>
          <w:p w:rsidR="001D3334" w:rsidRPr="001D3334" w:rsidRDefault="001D3334" w:rsidP="001D333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1D3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64 квартир,</w:t>
            </w:r>
          </w:p>
          <w:p w:rsidR="001D3334" w:rsidRPr="001D3334" w:rsidRDefault="001D3334" w:rsidP="001D333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1D3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64 квартир.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Нежилые </w:t>
            </w:r>
            <w:proofErr w:type="gram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помещения 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общей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проектной площадью – 916,77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Подземная автостоянка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2055,87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54 автомобилей).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подвальном этаже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предусмотрена </w:t>
            </w:r>
            <w:proofErr w:type="gram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возможность  размещения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кладовых, часть встроено-пристроенной автостоянки.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Нежилые помещения на </w:t>
            </w:r>
            <w:proofErr w:type="gramStart"/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первом  этаже</w:t>
            </w:r>
            <w:proofErr w:type="gram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– без конкретной технологии (назначения) с возможностью размещения коммерческих и офисных помещений,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электрощитовых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этажных площадках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–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</w:tc>
      </w:tr>
      <w:tr w:rsidR="001D3334" w:rsidRPr="001D3334" w:rsidTr="001D3334">
        <w:trPr>
          <w:trHeight w:val="2181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конструкции.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2015 г.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г. Рязани.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</w:p>
          <w:p w:rsidR="001D3334" w:rsidRPr="001D3334" w:rsidRDefault="001D3334" w:rsidP="001D3334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1D3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1D3334" w:rsidRPr="001D3334" w:rsidRDefault="001D3334" w:rsidP="001D3334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1D3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1D3334" w:rsidRPr="001D3334" w:rsidRDefault="001D3334" w:rsidP="001D3334">
            <w:pPr>
              <w:spacing w:after="0" w:line="240" w:lineRule="auto"/>
              <w:ind w:lef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1D33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1D3334" w:rsidRPr="001D3334" w:rsidTr="001D3334">
        <w:trPr>
          <w:trHeight w:val="952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632 525 000  рублей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Техлаб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«Группа компаний «ЕДИНСТВО»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Универсалгазстрой</w:t>
            </w:r>
            <w:proofErr w:type="spellEnd"/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«Модуль-К»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Залог  в соответствии со ст. 13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1D3334" w:rsidRPr="001D3334" w:rsidTr="001D33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16. Иные договора и сделки по привлечению денежных средств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3334" w:rsidRPr="001D3334" w:rsidRDefault="001D3334" w:rsidP="001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3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иных договоров и сделок возможно в соответствии с действующим законодательством РФ.</w:t>
            </w:r>
          </w:p>
        </w:tc>
      </w:tr>
    </w:tbl>
    <w:p w:rsidR="001D3334" w:rsidRPr="001D3334" w:rsidRDefault="001D3334" w:rsidP="001D3334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1D333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DA657E" w:rsidRDefault="001D3334" w:rsidP="001D3334">
      <w:r w:rsidRPr="001D333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12 сентября 2012 года.</w:t>
      </w:r>
      <w:r w:rsidRPr="001D333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1D333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1D333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1D3334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Проектная декларация в данной редакции опубликована в сети Интернет на сайте </w:t>
      </w:r>
      <w:hyperlink r:id="rId4" w:history="1">
        <w:r w:rsidRPr="001D3334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1D3334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12 сентября 2012 года.</w:t>
      </w:r>
    </w:p>
    <w:sectPr w:rsidR="00DA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34"/>
    <w:rsid w:val="001D3334"/>
    <w:rsid w:val="00D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1D8D-1D27-4596-80A9-B4A7FC6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334"/>
    <w:rPr>
      <w:b/>
      <w:bCs/>
    </w:rPr>
  </w:style>
  <w:style w:type="character" w:customStyle="1" w:styleId="apple-converted-space">
    <w:name w:val="apple-converted-space"/>
    <w:basedOn w:val="a0"/>
    <w:rsid w:val="001D3334"/>
  </w:style>
  <w:style w:type="character" w:styleId="a5">
    <w:name w:val="Emphasis"/>
    <w:basedOn w:val="a0"/>
    <w:uiPriority w:val="20"/>
    <w:qFormat/>
    <w:rsid w:val="001D3334"/>
    <w:rPr>
      <w:i/>
      <w:iCs/>
    </w:rPr>
  </w:style>
  <w:style w:type="character" w:styleId="a6">
    <w:name w:val="Hyperlink"/>
    <w:basedOn w:val="a0"/>
    <w:uiPriority w:val="99"/>
    <w:semiHidden/>
    <w:unhideWhenUsed/>
    <w:rsid w:val="001D3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nstvo6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2017-06-26T08:36:00Z</dcterms:created>
  <dcterms:modified xsi:type="dcterms:W3CDTF">2017-06-26T08:36:00Z</dcterms:modified>
</cp:coreProperties>
</file>